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pPr w:leftFromText="180" w:rightFromText="180" w:horzAnchor="page" w:tblpX="1" w:tblpY="-488"/>
        <w:tblW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65"/>
      </w:tblGrid>
      <w:tr w:rsidR="0016108C" w:rsidRPr="00EB5889" w:rsidTr="00D84E4A">
        <w:trPr>
          <w:trHeight w:val="2468"/>
        </w:trPr>
        <w:tc>
          <w:tcPr>
            <w:tcW w:w="11165" w:type="dxa"/>
          </w:tcPr>
          <w:tbl>
            <w:tblPr>
              <w:tblStyle w:val="a6"/>
              <w:tblW w:w="1135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49"/>
              <w:gridCol w:w="244"/>
              <w:gridCol w:w="7264"/>
            </w:tblGrid>
            <w:tr w:rsidR="0016108C" w:rsidRPr="00EB5889" w:rsidTr="00D84E4A">
              <w:trPr>
                <w:trHeight w:val="1906"/>
              </w:trPr>
              <w:tc>
                <w:tcPr>
                  <w:tcW w:w="3849" w:type="dxa"/>
                </w:tcPr>
                <w:p w:rsidR="0016108C" w:rsidRPr="00EB5889" w:rsidRDefault="0016108C" w:rsidP="00EB5889">
                  <w:pPr>
                    <w:framePr w:hSpace="180" w:wrap="around" w:hAnchor="page" w:x="1" w:y="-488"/>
                    <w:suppressAutoHyphens/>
                    <w:jc w:val="center"/>
                    <w:rPr>
                      <w:rFonts w:asciiTheme="majorHAnsi" w:hAnsiTheme="majorHAnsi" w:cs="Microsoft Sans Serif"/>
                      <w:b/>
                      <w:color w:val="595959" w:themeColor="text1" w:themeTint="A6"/>
                      <w:sz w:val="18"/>
                      <w:szCs w:val="18"/>
                    </w:rPr>
                  </w:pPr>
                  <w:r w:rsidRPr="00EB5889">
                    <w:rPr>
                      <w:noProof/>
                      <w:sz w:val="18"/>
                      <w:lang w:eastAsia="ru-RU"/>
                    </w:rPr>
                    <w:drawing>
                      <wp:anchor distT="0" distB="0" distL="114300" distR="114300" simplePos="0" relativeHeight="251659264" behindDoc="1" locked="0" layoutInCell="1" allowOverlap="1" wp14:anchorId="04E265BD" wp14:editId="7C65C405">
                        <wp:simplePos x="0" y="0"/>
                        <wp:positionH relativeFrom="margin">
                          <wp:posOffset>645795</wp:posOffset>
                        </wp:positionH>
                        <wp:positionV relativeFrom="margin">
                          <wp:posOffset>72390</wp:posOffset>
                        </wp:positionV>
                        <wp:extent cx="1709420" cy="895985"/>
                        <wp:effectExtent l="0" t="0" r="5080" b="0"/>
                        <wp:wrapNone/>
                        <wp:docPr id="3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09420" cy="8959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  <w:p w:rsidR="0016108C" w:rsidRPr="00EB5889" w:rsidRDefault="0016108C" w:rsidP="00EB5889">
                  <w:pPr>
                    <w:framePr w:hSpace="180" w:wrap="around" w:hAnchor="page" w:x="1" w:y="-488"/>
                    <w:suppressAutoHyphens/>
                    <w:jc w:val="center"/>
                    <w:rPr>
                      <w:rFonts w:asciiTheme="majorHAnsi" w:hAnsiTheme="majorHAnsi" w:cs="Microsoft Sans Serif"/>
                      <w:b/>
                      <w:color w:val="595959" w:themeColor="text1" w:themeTint="A6"/>
                      <w:sz w:val="18"/>
                      <w:szCs w:val="18"/>
                    </w:rPr>
                  </w:pPr>
                </w:p>
                <w:p w:rsidR="0016108C" w:rsidRPr="00EB5889" w:rsidRDefault="0016108C" w:rsidP="00EB5889">
                  <w:pPr>
                    <w:framePr w:hSpace="180" w:wrap="around" w:hAnchor="page" w:x="1" w:y="-488"/>
                    <w:suppressAutoHyphens/>
                    <w:rPr>
                      <w:rFonts w:asciiTheme="majorHAnsi" w:hAnsiTheme="majorHAnsi" w:cs="Microsoft Sans Serif"/>
                      <w:b/>
                      <w:color w:val="595959" w:themeColor="text1" w:themeTint="A6"/>
                      <w:sz w:val="18"/>
                      <w:szCs w:val="18"/>
                    </w:rPr>
                  </w:pPr>
                </w:p>
                <w:p w:rsidR="0016108C" w:rsidRPr="00EB5889" w:rsidRDefault="0016108C" w:rsidP="00EB5889">
                  <w:pPr>
                    <w:framePr w:hSpace="180" w:wrap="around" w:hAnchor="page" w:x="1" w:y="-488"/>
                    <w:suppressAutoHyphens/>
                    <w:rPr>
                      <w:rFonts w:asciiTheme="majorHAnsi" w:hAnsiTheme="majorHAnsi" w:cs="Microsoft Sans Serif"/>
                      <w:b/>
                      <w:color w:val="595959" w:themeColor="text1" w:themeTint="A6"/>
                      <w:sz w:val="18"/>
                      <w:szCs w:val="18"/>
                    </w:rPr>
                  </w:pPr>
                </w:p>
                <w:p w:rsidR="0016108C" w:rsidRPr="00EB5889" w:rsidRDefault="0016108C" w:rsidP="00EB5889">
                  <w:pPr>
                    <w:framePr w:hSpace="180" w:wrap="around" w:hAnchor="page" w:x="1" w:y="-488"/>
                    <w:suppressAutoHyphens/>
                    <w:rPr>
                      <w:rFonts w:asciiTheme="majorHAnsi" w:hAnsiTheme="majorHAnsi" w:cs="Microsoft Sans Serif"/>
                      <w:b/>
                      <w:color w:val="595959" w:themeColor="text1" w:themeTint="A6"/>
                      <w:sz w:val="18"/>
                    </w:rPr>
                  </w:pPr>
                  <w:r w:rsidRPr="00EB5889">
                    <w:rPr>
                      <w:rFonts w:asciiTheme="majorHAnsi" w:hAnsiTheme="majorHAnsi" w:cs="Microsoft Sans Serif"/>
                      <w:b/>
                      <w:color w:val="595959" w:themeColor="text1" w:themeTint="A6"/>
                      <w:sz w:val="18"/>
                    </w:rPr>
                    <w:t xml:space="preserve">                                                 </w:t>
                  </w:r>
                </w:p>
                <w:p w:rsidR="0016108C" w:rsidRPr="00EB5889" w:rsidRDefault="0016108C" w:rsidP="00EB5889">
                  <w:pPr>
                    <w:framePr w:hSpace="180" w:wrap="around" w:hAnchor="page" w:x="1" w:y="-488"/>
                    <w:suppressAutoHyphens/>
                    <w:rPr>
                      <w:rFonts w:asciiTheme="majorHAnsi" w:hAnsiTheme="majorHAnsi" w:cs="Microsoft Sans Serif"/>
                      <w:b/>
                      <w:color w:val="595959" w:themeColor="text1" w:themeTint="A6"/>
                      <w:sz w:val="18"/>
                    </w:rPr>
                  </w:pPr>
                  <w:r w:rsidRPr="00EB5889">
                    <w:rPr>
                      <w:rFonts w:asciiTheme="majorHAnsi" w:hAnsiTheme="majorHAnsi" w:cs="Microsoft Sans Serif"/>
                      <w:b/>
                      <w:color w:val="595959" w:themeColor="text1" w:themeTint="A6"/>
                      <w:sz w:val="18"/>
                    </w:rPr>
                    <w:t xml:space="preserve">                                                             Автономная</w:t>
                  </w:r>
                </w:p>
                <w:p w:rsidR="0016108C" w:rsidRPr="00EB5889" w:rsidRDefault="0016108C" w:rsidP="00EB5889">
                  <w:pPr>
                    <w:framePr w:hSpace="180" w:wrap="around" w:hAnchor="page" w:x="1" w:y="-488"/>
                    <w:suppressAutoHyphens/>
                    <w:ind w:left="2019" w:right="-250"/>
                    <w:rPr>
                      <w:rFonts w:asciiTheme="majorHAnsi" w:hAnsiTheme="majorHAnsi" w:cs="Microsoft Sans Serif"/>
                      <w:b/>
                      <w:color w:val="595959" w:themeColor="text1" w:themeTint="A6"/>
                      <w:sz w:val="18"/>
                    </w:rPr>
                  </w:pPr>
                  <w:r w:rsidRPr="00EB5889">
                    <w:rPr>
                      <w:rFonts w:asciiTheme="majorHAnsi" w:hAnsiTheme="majorHAnsi" w:cs="Microsoft Sans Serif"/>
                      <w:b/>
                      <w:color w:val="595959" w:themeColor="text1" w:themeTint="A6"/>
                      <w:sz w:val="18"/>
                    </w:rPr>
                    <w:t xml:space="preserve">      Некоммерческая </w:t>
                  </w:r>
                </w:p>
                <w:p w:rsidR="0016108C" w:rsidRPr="00EB5889" w:rsidRDefault="0016108C" w:rsidP="00EB5889">
                  <w:pPr>
                    <w:framePr w:hSpace="180" w:wrap="around" w:hAnchor="page" w:x="1" w:y="-488"/>
                    <w:suppressAutoHyphens/>
                    <w:rPr>
                      <w:rFonts w:asciiTheme="majorHAnsi" w:hAnsiTheme="majorHAnsi" w:cs="Microsoft Sans Serif"/>
                      <w:b/>
                      <w:color w:val="595959" w:themeColor="text1" w:themeTint="A6"/>
                      <w:sz w:val="18"/>
                    </w:rPr>
                  </w:pPr>
                  <w:r w:rsidRPr="00EB5889">
                    <w:rPr>
                      <w:rFonts w:asciiTheme="majorHAnsi" w:hAnsiTheme="majorHAnsi" w:cs="Microsoft Sans Serif"/>
                      <w:b/>
                      <w:color w:val="595959" w:themeColor="text1" w:themeTint="A6"/>
                      <w:sz w:val="18"/>
                    </w:rPr>
                    <w:t xml:space="preserve">                                                           Организация</w:t>
                  </w:r>
                </w:p>
                <w:p w:rsidR="0016108C" w:rsidRPr="00EB5889" w:rsidRDefault="0016108C" w:rsidP="00EB5889">
                  <w:pPr>
                    <w:framePr w:hSpace="180" w:wrap="around" w:hAnchor="page" w:x="1" w:y="-488"/>
                    <w:suppressAutoHyphens/>
                    <w:jc w:val="center"/>
                    <w:rPr>
                      <w:rFonts w:asciiTheme="majorHAnsi" w:hAnsiTheme="majorHAnsi" w:cs="Microsoft Sans Serif"/>
                      <w:color w:val="595959" w:themeColor="text1" w:themeTint="A6"/>
                      <w:sz w:val="18"/>
                      <w:szCs w:val="16"/>
                    </w:rPr>
                  </w:pPr>
                </w:p>
                <w:p w:rsidR="0016108C" w:rsidRPr="00EB5889" w:rsidRDefault="0016108C" w:rsidP="00EB5889">
                  <w:pPr>
                    <w:framePr w:hSpace="180" w:wrap="around" w:hAnchor="page" w:x="1" w:y="-488"/>
                    <w:suppressAutoHyphens/>
                    <w:jc w:val="center"/>
                    <w:rPr>
                      <w:rFonts w:ascii="Times New Roman" w:hAnsi="Times New Roman" w:cs="Times New Roman"/>
                      <w:sz w:val="18"/>
                      <w:szCs w:val="28"/>
                    </w:rPr>
                  </w:pPr>
                </w:p>
              </w:tc>
              <w:tc>
                <w:tcPr>
                  <w:tcW w:w="244" w:type="dxa"/>
                </w:tcPr>
                <w:p w:rsidR="0016108C" w:rsidRPr="00EB5889" w:rsidRDefault="0016108C" w:rsidP="00EB5889">
                  <w:pPr>
                    <w:framePr w:hSpace="180" w:wrap="around" w:hAnchor="page" w:x="1" w:y="-488"/>
                    <w:suppressAutoHyphens/>
                    <w:ind w:left="-392" w:firstLine="1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28"/>
                      <w:lang w:eastAsia="ru-RU"/>
                    </w:rPr>
                  </w:pPr>
                </w:p>
              </w:tc>
              <w:tc>
                <w:tcPr>
                  <w:tcW w:w="7264" w:type="dxa"/>
                </w:tcPr>
                <w:p w:rsidR="0016108C" w:rsidRPr="00EB5889" w:rsidRDefault="0016108C" w:rsidP="00EB5889">
                  <w:pPr>
                    <w:framePr w:hSpace="180" w:wrap="around" w:hAnchor="page" w:x="1" w:y="-488"/>
                    <w:spacing w:line="216" w:lineRule="auto"/>
                    <w:ind w:right="-108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6108C" w:rsidRPr="00EB5889" w:rsidRDefault="0016108C" w:rsidP="00EB5889">
                  <w:pPr>
                    <w:framePr w:hSpace="180" w:wrap="around" w:hAnchor="page" w:x="1" w:y="-488"/>
                    <w:spacing w:line="288" w:lineRule="auto"/>
                    <w:ind w:left="-68" w:right="129"/>
                    <w:contextualSpacing/>
                    <w:jc w:val="center"/>
                    <w:rPr>
                      <w:rFonts w:ascii="Verdana" w:hAnsi="Verdana" w:cs="Times New Roman"/>
                      <w:b/>
                      <w:color w:val="595959" w:themeColor="text1" w:themeTint="A6"/>
                      <w:sz w:val="32"/>
                      <w:szCs w:val="34"/>
                      <w14:textOutline w14:w="5270" w14:cap="flat" w14:cmpd="sng" w14:algn="ctr">
                        <w14:solidFill>
                          <w14:srgbClr w14:val="7D7D7D">
                            <w14:tint w14:val="100000"/>
                            <w14:shade w14:val="100000"/>
                            <w14:satMod w14:val="110000"/>
                          </w14:srgbClr>
                        </w14:solidFill>
                        <w14:prstDash w14:val="solid"/>
                        <w14:round/>
                      </w14:textOutline>
                    </w:rPr>
                  </w:pPr>
                  <w:r w:rsidRPr="00EB5889">
                    <w:rPr>
                      <w:rFonts w:ascii="Verdana" w:hAnsi="Verdana" w:cs="Arial"/>
                      <w:b/>
                      <w:color w:val="595959" w:themeColor="text1" w:themeTint="A6"/>
                      <w:sz w:val="32"/>
                      <w:szCs w:val="34"/>
                      <w14:textOutline w14:w="5270" w14:cap="flat" w14:cmpd="sng" w14:algn="ctr">
                        <w14:solidFill>
                          <w14:srgbClr w14:val="7D7D7D">
                            <w14:tint w14:val="100000"/>
                            <w14:shade w14:val="100000"/>
                            <w14:satMod w14:val="110000"/>
                          </w14:srgbClr>
                        </w14:solidFill>
                        <w14:prstDash w14:val="solid"/>
                        <w14:round/>
                      </w14:textOutline>
                    </w:rPr>
                    <w:t>ЦЕНТР</w:t>
                  </w:r>
                </w:p>
                <w:p w:rsidR="0016108C" w:rsidRPr="00EB5889" w:rsidRDefault="0016108C" w:rsidP="00EB5889">
                  <w:pPr>
                    <w:framePr w:hSpace="180" w:wrap="around" w:hAnchor="page" w:x="1" w:y="-488"/>
                    <w:spacing w:line="288" w:lineRule="auto"/>
                    <w:ind w:left="-68" w:right="129"/>
                    <w:contextualSpacing/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  <w14:textFill>
                        <w14:gradFill>
                          <w14:gsLst>
                            <w14:gs w14:pos="0">
                              <w14:schemeClr w14:val="tx1">
                                <w14:lumMod w14:val="50000"/>
                                <w14:lumOff w14:val="50000"/>
                                <w14:shade w14:val="30000"/>
                                <w14:satMod w14:val="115000"/>
                              </w14:schemeClr>
                            </w14:gs>
                            <w14:gs w14:pos="50000">
                              <w14:schemeClr w14:val="tx1">
                                <w14:lumMod w14:val="50000"/>
                                <w14:lumOff w14:val="50000"/>
                                <w14:shade w14:val="67500"/>
                                <w14:satMod w14:val="115000"/>
                              </w14:schemeClr>
                            </w14:gs>
                            <w14:gs w14:pos="100000">
                              <w14:schemeClr w14:val="tx1">
                                <w14:lumMod w14:val="50000"/>
                                <w14:lumOff w14:val="50000"/>
                                <w14:shade w14:val="100000"/>
                                <w14:satMod w14:val="115000"/>
                              </w14:schemeClr>
                            </w14:gs>
                          </w14:gsLst>
                          <w14:path w14:path="circle">
                            <w14:fillToRect w14:l="0" w14:t="100000" w14:r="100000" w14:b="0"/>
                          </w14:path>
                        </w14:gradFill>
                      </w14:textFill>
                    </w:rPr>
                  </w:pPr>
                  <w:r w:rsidRPr="00EB5889">
                    <w:rPr>
                      <w:rFonts w:ascii="Verdana" w:hAnsi="Verdana" w:cs="Arial"/>
                      <w:b/>
                      <w:color w:val="595959" w:themeColor="text1" w:themeTint="A6"/>
                      <w:sz w:val="32"/>
                      <w:szCs w:val="34"/>
                      <w14:textOutline w14:w="5270" w14:cap="flat" w14:cmpd="sng" w14:algn="ctr">
                        <w14:solidFill>
                          <w14:srgbClr w14:val="7D7D7D">
                            <w14:tint w14:val="100000"/>
                            <w14:shade w14:val="100000"/>
                            <w14:satMod w14:val="110000"/>
                          </w14:srgbClr>
                        </w14:solidFill>
                        <w14:prstDash w14:val="solid"/>
                        <w14:round/>
                      </w14:textOutline>
                    </w:rPr>
                    <w:t>МОНИТОРИНГА</w:t>
                  </w:r>
                  <w:r w:rsidRPr="00EB5889">
                    <w:rPr>
                      <w:rFonts w:ascii="Verdana" w:hAnsi="Verdana" w:cs="Times New Roman"/>
                      <w:b/>
                      <w:color w:val="595959" w:themeColor="text1" w:themeTint="A6"/>
                      <w:sz w:val="32"/>
                      <w:szCs w:val="34"/>
                      <w14:textOutline w14:w="5270" w14:cap="flat" w14:cmpd="sng" w14:algn="ctr">
                        <w14:solidFill>
                          <w14:srgbClr w14:val="7D7D7D">
                            <w14:tint w14:val="100000"/>
                            <w14:shade w14:val="100000"/>
                            <w14:satMod w14:val="110000"/>
                          </w14:srgbClr>
                        </w14:solidFill>
                        <w14:prstDash w14:val="solid"/>
                        <w14:round/>
                      </w14:textOutline>
                    </w:rPr>
                    <w:t xml:space="preserve"> </w:t>
                  </w:r>
                  <w:r w:rsidRPr="00EB5889">
                    <w:rPr>
                      <w:rFonts w:ascii="Verdana" w:hAnsi="Verdana" w:cs="Arial"/>
                      <w:b/>
                      <w:color w:val="595959" w:themeColor="text1" w:themeTint="A6"/>
                      <w:sz w:val="32"/>
                      <w:szCs w:val="34"/>
                      <w14:textOutline w14:w="5270" w14:cap="flat" w14:cmpd="sng" w14:algn="ctr">
                        <w14:solidFill>
                          <w14:srgbClr w14:val="7D7D7D">
                            <w14:tint w14:val="100000"/>
                            <w14:shade w14:val="100000"/>
                            <w14:satMod w14:val="110000"/>
                          </w14:srgbClr>
                        </w14:solidFill>
                        <w14:prstDash w14:val="solid"/>
                        <w14:round/>
                      </w14:textOutline>
                    </w:rPr>
                    <w:t>И</w:t>
                  </w:r>
                  <w:r w:rsidRPr="00EB5889">
                    <w:rPr>
                      <w:rFonts w:ascii="Verdana" w:hAnsi="Verdana" w:cs="Times New Roman"/>
                      <w:b/>
                      <w:color w:val="595959" w:themeColor="text1" w:themeTint="A6"/>
                      <w:sz w:val="32"/>
                      <w:szCs w:val="34"/>
                      <w14:textOutline w14:w="5270" w14:cap="flat" w14:cmpd="sng" w14:algn="ctr">
                        <w14:solidFill>
                          <w14:srgbClr w14:val="7D7D7D">
                            <w14:tint w14:val="100000"/>
                            <w14:shade w14:val="100000"/>
                            <w14:satMod w14:val="110000"/>
                          </w14:srgbClr>
                        </w14:solidFill>
                        <w14:prstDash w14:val="solid"/>
                        <w14:round/>
                      </w14:textOutline>
                    </w:rPr>
                    <w:t xml:space="preserve"> </w:t>
                  </w:r>
                  <w:proofErr w:type="gramStart"/>
                  <w:r w:rsidRPr="00EB5889">
                    <w:rPr>
                      <w:rFonts w:ascii="Verdana" w:hAnsi="Verdana" w:cs="Arial"/>
                      <w:b/>
                      <w:color w:val="595959" w:themeColor="text1" w:themeTint="A6"/>
                      <w:sz w:val="32"/>
                      <w:szCs w:val="34"/>
                      <w14:textOutline w14:w="5270" w14:cap="flat" w14:cmpd="sng" w14:algn="ctr">
                        <w14:solidFill>
                          <w14:srgbClr w14:val="7D7D7D">
                            <w14:tint w14:val="100000"/>
                            <w14:shade w14:val="100000"/>
                            <w14:satMod w14:val="110000"/>
                          </w14:srgbClr>
                        </w14:solidFill>
                        <w14:prstDash w14:val="solid"/>
                        <w14:round/>
                      </w14:textOutline>
                    </w:rPr>
                    <w:t>КОНТРОЛЯ</w:t>
                  </w:r>
                  <w:r w:rsidRPr="00EB5889">
                    <w:rPr>
                      <w:rFonts w:ascii="Verdana" w:hAnsi="Verdana" w:cs="Times New Roman"/>
                      <w:b/>
                      <w:color w:val="595959" w:themeColor="text1" w:themeTint="A6"/>
                      <w:sz w:val="32"/>
                      <w:szCs w:val="34"/>
                      <w14:textOutline w14:w="5270" w14:cap="flat" w14:cmpd="sng" w14:algn="ctr">
                        <w14:solidFill>
                          <w14:srgbClr w14:val="7D7D7D">
                            <w14:tint w14:val="100000"/>
                            <w14:shade w14:val="100000"/>
                            <w14:satMod w14:val="110000"/>
                          </w14:srgbClr>
                        </w14:solidFill>
                        <w14:prstDash w14:val="solid"/>
                        <w14:round/>
                      </w14:textOutline>
                    </w:rPr>
                    <w:t xml:space="preserve"> </w:t>
                  </w:r>
                  <w:r w:rsidRPr="00EB5889">
                    <w:rPr>
                      <w:rFonts w:ascii="Verdana" w:hAnsi="Verdana" w:cs="Arial"/>
                      <w:b/>
                      <w:color w:val="595959" w:themeColor="text1" w:themeTint="A6"/>
                      <w:sz w:val="32"/>
                      <w:szCs w:val="34"/>
                      <w14:textOutline w14:w="5270" w14:cap="flat" w14:cmpd="sng" w14:algn="ctr">
                        <w14:solidFill>
                          <w14:srgbClr w14:val="7D7D7D">
                            <w14:tint w14:val="100000"/>
                            <w14:shade w14:val="100000"/>
                            <w14:satMod w14:val="110000"/>
                          </w14:srgbClr>
                        </w14:solidFill>
                        <w14:prstDash w14:val="solid"/>
                        <w14:round/>
                      </w14:textOutline>
                    </w:rPr>
                    <w:t>ЗА</w:t>
                  </w:r>
                  <w:proofErr w:type="gramEnd"/>
                  <w:r w:rsidRPr="00EB5889">
                    <w:rPr>
                      <w:rFonts w:ascii="Verdana" w:hAnsi="Verdana" w:cs="Times New Roman"/>
                      <w:b/>
                      <w:color w:val="595959" w:themeColor="text1" w:themeTint="A6"/>
                      <w:sz w:val="32"/>
                      <w:szCs w:val="34"/>
                      <w14:textOutline w14:w="5270" w14:cap="flat" w14:cmpd="sng" w14:algn="ctr">
                        <w14:solidFill>
                          <w14:srgbClr w14:val="7D7D7D">
                            <w14:tint w14:val="100000"/>
                            <w14:shade w14:val="100000"/>
                            <w14:satMod w14:val="110000"/>
                          </w14:srgbClr>
                        </w14:solidFill>
                        <w14:prstDash w14:val="solid"/>
                        <w14:round/>
                      </w14:textOutline>
                    </w:rPr>
                    <w:t xml:space="preserve"> </w:t>
                  </w:r>
                  <w:r w:rsidRPr="00EB5889">
                    <w:rPr>
                      <w:rFonts w:ascii="Verdana" w:hAnsi="Verdana" w:cs="Arial"/>
                      <w:b/>
                      <w:color w:val="595959" w:themeColor="text1" w:themeTint="A6"/>
                      <w:sz w:val="32"/>
                      <w:szCs w:val="34"/>
                      <w14:textOutline w14:w="5270" w14:cap="flat" w14:cmpd="sng" w14:algn="ctr">
                        <w14:solidFill>
                          <w14:srgbClr w14:val="7D7D7D">
                            <w14:tint w14:val="100000"/>
                            <w14:shade w14:val="100000"/>
                            <w14:satMod w14:val="110000"/>
                          </w14:srgbClr>
                        </w14:solidFill>
                        <w14:prstDash w14:val="solid"/>
                        <w14:round/>
                      </w14:textOutline>
                    </w:rPr>
                    <w:t>ЦЕНООБРАЗОВАНИЕМ</w:t>
                  </w:r>
                </w:p>
              </w:tc>
            </w:tr>
          </w:tbl>
          <w:p w:rsidR="0016108C" w:rsidRPr="00EB5889" w:rsidRDefault="0016108C" w:rsidP="00EB588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6108C" w:rsidRPr="00EB5889" w:rsidRDefault="0016108C" w:rsidP="00EB5889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EB5889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Справка </w:t>
      </w:r>
      <w:proofErr w:type="gramStart"/>
      <w:r w:rsidRPr="00EB5889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о результатах сравнительного анализа стандартизированных тарифных ставок на технологическое присоединение к газораспределительным сетям в соответствии с выполнением</w:t>
      </w:r>
      <w:proofErr w:type="gramEnd"/>
      <w:r w:rsidRPr="00EB5889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плана мероприятий («дорожной карты») «Повышение допустимости энергетической инфраструктуры» (пункт 76), утвержденного распоряжением Правительства Российской Федерации                                        от 30.06.2012 № 1144-р</w:t>
      </w:r>
    </w:p>
    <w:p w:rsidR="0016108C" w:rsidRPr="00EB5889" w:rsidRDefault="0016108C" w:rsidP="00EB5889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</w:p>
    <w:p w:rsidR="0016108C" w:rsidRPr="00EB5889" w:rsidRDefault="0016108C" w:rsidP="00EB5889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B58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 результатам сравнительного анализа стандартизированных тарифных ставок на технологическое присоединение                                                  к газораспределительным сетям АНО «Центр мониторинга и </w:t>
      </w:r>
      <w:proofErr w:type="gramStart"/>
      <w:r w:rsidRPr="00EB58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контроля </w:t>
      </w:r>
      <w:r w:rsidR="00746D66" w:rsidRPr="00EB58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</w:t>
      </w:r>
      <w:r w:rsidRPr="00EB58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</w:t>
      </w:r>
      <w:proofErr w:type="gramEnd"/>
      <w:r w:rsidRPr="00EB58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ценообразованием» отмечает следующее.</w:t>
      </w:r>
    </w:p>
    <w:p w:rsidR="0016108C" w:rsidRPr="00EB5889" w:rsidRDefault="0016108C" w:rsidP="00EB5889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EB58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ФАС России во многом поддерживает позицию АНО «Центр мониторинга и контроля за ценообразованием» по вопросам формирования стандартизированных тарифных ставок для расчета размера платы за технологическое присоединение газоиспользующего оборудования к сетям газораспределения, направленную письмом № ЦМ</w:t>
      </w:r>
      <w:r w:rsidR="00746D66" w:rsidRPr="00EB58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ОК-166/2016 от 03.06.2016</w:t>
      </w:r>
      <w:r w:rsidR="00746D66" w:rsidRPr="00EB58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eastAsia="ru-RU"/>
        </w:rPr>
        <w:t xml:space="preserve"> </w:t>
      </w:r>
      <w:r w:rsidR="00746D66" w:rsidRPr="00EB58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адрес</w:t>
      </w:r>
      <w:r w:rsidRPr="00EB58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заместителя руководителя ФАС России </w:t>
      </w:r>
      <w:bookmarkStart w:id="0" w:name="_GoBack"/>
      <w:bookmarkEnd w:id="0"/>
      <w:r w:rsidRPr="00EB58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А.Н. </w:t>
      </w:r>
      <w:proofErr w:type="spellStart"/>
      <w:r w:rsidRPr="00EB58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Голомолзина</w:t>
      </w:r>
      <w:proofErr w:type="spellEnd"/>
      <w:r w:rsidRPr="00EB58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46D66" w:rsidRPr="00EB58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</w:t>
      </w:r>
      <w:r w:rsidRPr="00EB58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результатам внутреннего мониторинга тарифных решений региональных органов регулирования по установлению платы за технологическое</w:t>
      </w:r>
      <w:proofErr w:type="gramEnd"/>
      <w:r w:rsidRPr="00EB58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присоединение газоиспользующего оборудования к газораспределительным сетям и (или) стандартизированных тарифных ставок, определяющих её величину за 2016 год.</w:t>
      </w:r>
    </w:p>
    <w:p w:rsidR="0016108C" w:rsidRPr="00EB5889" w:rsidRDefault="0016108C" w:rsidP="00EB5889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B58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Структурное построение доклада ФАС России формируется на базе предоставленных АНО «Центр мониторинга и </w:t>
      </w:r>
      <w:proofErr w:type="gramStart"/>
      <w:r w:rsidRPr="00EB58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контроля за</w:t>
      </w:r>
      <w:proofErr w:type="gramEnd"/>
      <w:r w:rsidRPr="00EB58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ценообразованием» письмом № ЦМОК-166/2016 от 03.06.2016 и информационным приложением к нему</w:t>
      </w:r>
      <w:r w:rsidRPr="00EB5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B58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результатов мониторинга                            и свидетельствует о необходимости усиления контроля со стороны федерального органа исполнительной власти в этой сфере.</w:t>
      </w:r>
    </w:p>
    <w:p w:rsidR="0016108C" w:rsidRPr="00EB5889" w:rsidRDefault="0016108C" w:rsidP="00EB5889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EB58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АНО «Центр мониторинга и контроля за ценообразованием» в целях реализации общественного контроля в регулируемых сферах и создания условий для снижения рисков принятия органами исполнительной власти субъектов Российской Федерации в области государственного регулирования</w:t>
      </w:r>
      <w:r w:rsidR="00746D66" w:rsidRPr="00EB58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решений об установлении</w:t>
      </w:r>
      <w:r w:rsidRPr="00EB58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тарифов, не соответствующих законодательству Российской Федерации и (или) противоречащих общественным интересам, указывала на следующие проблемы при формировании всех стандартизированных тарифных ставок при единой методологии ценообразования</w:t>
      </w:r>
      <w:proofErr w:type="gramEnd"/>
      <w:r w:rsidRPr="00EB58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как по субъектам Российской Федерации</w:t>
      </w:r>
      <w:r w:rsidRPr="00EB5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B58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так и внутри самого региона, а именно:</w:t>
      </w:r>
    </w:p>
    <w:p w:rsidR="0016108C" w:rsidRPr="00EB5889" w:rsidRDefault="0016108C" w:rsidP="00EB5889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B58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1.</w:t>
      </w:r>
      <w:r w:rsidRPr="00EB58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proofErr w:type="gramStart"/>
      <w:r w:rsidRPr="00EB58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 выявлении при анализе стандартизированных ставок по регионам значительной разницы цен за одно присоединение между федеральными округами</w:t>
      </w:r>
      <w:proofErr w:type="gramEnd"/>
      <w:r w:rsidRPr="00EB58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субъектами Российской Федерации, а также внутри одного субъекта Российской Федерации.</w:t>
      </w:r>
    </w:p>
    <w:p w:rsidR="0016108C" w:rsidRPr="00EB5889" w:rsidRDefault="0016108C" w:rsidP="00EB5889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B58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</w:t>
      </w:r>
      <w:r w:rsidRPr="00EB58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  <w:t xml:space="preserve">О необходимости совершенствования методологии регулирования платы за технологическое присоединение к газораспределительным сетям, поскольку действующая методология не позволяет в полном объеме определить экономически обоснованные расходы за технологическое присоединение, а также в целях обеспечения прозрачности </w:t>
      </w:r>
      <w:proofErr w:type="gramStart"/>
      <w:r w:rsidRPr="00EB58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деятельности</w:t>
      </w:r>
      <w:proofErr w:type="gramEnd"/>
      <w:r w:rsidRPr="00EB5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B58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регулирующего органа, так и ГРО.</w:t>
      </w:r>
    </w:p>
    <w:p w:rsidR="0016108C" w:rsidRPr="00EB5889" w:rsidRDefault="0016108C" w:rsidP="00EB5889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B58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</w:t>
      </w:r>
      <w:r w:rsidRPr="00EB58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proofErr w:type="gramStart"/>
      <w:r w:rsidRPr="00EB58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 несовершенстве применения в настоящее время в расчетах для определения расходов на укладку (прокладку) газопроводов Территориальных единичных расценок 2001 года (ТЕР 2001), используемых органом исполнительной власти субъекта Российской Федерации в рамках реализации полномочий в области сметного нормирования и ценообразования в сфере градостроительной деятельности, с учетом индексации данных показателей на индекс изменения сметной стоимости строительно-монтажных и пусконаладочных работ по объектам строительства.</w:t>
      </w:r>
      <w:proofErr w:type="gramEnd"/>
    </w:p>
    <w:p w:rsidR="0016108C" w:rsidRPr="00EB5889" w:rsidRDefault="0016108C" w:rsidP="00EB5889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B58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АНО «Центр мониторинга и контроля за ценообразованием» поддерживает ФАС России</w:t>
      </w:r>
      <w:r w:rsidRPr="00EB5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B58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усовершенствовании методологии расчета платы за технологическое присоединение к газораспределительным </w:t>
      </w:r>
      <w:proofErr w:type="gramStart"/>
      <w:r w:rsidRPr="00EB58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сетям</w:t>
      </w:r>
      <w:proofErr w:type="gramEnd"/>
      <w:r w:rsidRPr="00EB58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eastAsia="ru-RU"/>
        </w:rPr>
        <w:t xml:space="preserve"> </w:t>
      </w:r>
      <w:r w:rsidRPr="00EB58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путем введения представленных в докладе решений, а именно:</w:t>
      </w:r>
    </w:p>
    <w:p w:rsidR="0016108C" w:rsidRPr="00EB5889" w:rsidRDefault="0016108C" w:rsidP="00EB5889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B58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</w:t>
      </w:r>
      <w:r w:rsidRPr="00EB58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  <w:t>установление единых стандартизированных тарифных ставок для всех ГРО на территории субъекта Российской Федерации;</w:t>
      </w:r>
    </w:p>
    <w:p w:rsidR="0016108C" w:rsidRPr="00EB5889" w:rsidRDefault="0016108C" w:rsidP="00EB5889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B58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</w:t>
      </w:r>
      <w:r w:rsidRPr="00EB58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  <w:t>осуществление расчетов на строительство стальных и полиэтиленовых газопроводов, газорегуляторных пунктов, станций катодной защиты в ценах текущего периода;</w:t>
      </w:r>
    </w:p>
    <w:p w:rsidR="0016108C" w:rsidRPr="00EB5889" w:rsidRDefault="0016108C" w:rsidP="00EB5889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B58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</w:t>
      </w:r>
      <w:r w:rsidRPr="00EB58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  <w:t>установление закрытого тарифного меню;</w:t>
      </w:r>
    </w:p>
    <w:p w:rsidR="0016108C" w:rsidRPr="00EB5889" w:rsidRDefault="0016108C" w:rsidP="00EB5889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B58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</w:t>
      </w:r>
      <w:r w:rsidRPr="00EB58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  <w:t>введение укрупненных строительных нормативов.</w:t>
      </w:r>
    </w:p>
    <w:p w:rsidR="0016108C" w:rsidRPr="00EB5889" w:rsidRDefault="0016108C" w:rsidP="00EB5889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EB58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АНО «Центр мониторинга и контроля за ценообразованием» отмечает тот факт, что при отмене стандартизированной тарифной ставки С5 на строительство газо</w:t>
      </w:r>
      <w:r w:rsidR="00827AA8" w:rsidRPr="00EB58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проводов</w:t>
      </w:r>
      <w:r w:rsidRPr="00EB5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B58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газораспределительных сетей к привязке протяженностью до 150 метров приведет к упрощению расчетов платы, поскольку наличие дифференциации</w:t>
      </w:r>
      <w:r w:rsidR="00827AA8" w:rsidRPr="00EB58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«до, равно и более 150 метров»</w:t>
      </w:r>
      <w:r w:rsidRPr="00EB58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только усложняет расчеты по определению платы за технологическое п</w:t>
      </w:r>
      <w:r w:rsidR="00BF20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рисоединение, так как</w:t>
      </w:r>
      <w:r w:rsidRPr="00EB58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Методические указания по расчету размера платы</w:t>
      </w:r>
      <w:proofErr w:type="gramEnd"/>
      <w:r w:rsidRPr="00EB58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EB58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 технологическое присоединение газоиспользующего оборудования к сетям газораспределения и (или) стандартизированных тарифных ставок, определ</w:t>
      </w:r>
      <w:r w:rsidR="00827AA8" w:rsidRPr="00EB58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яющих ее величину, утвержденные</w:t>
      </w:r>
      <w:r w:rsidRPr="00EB58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приказом ФСТ России </w:t>
      </w:r>
      <w:r w:rsidR="00746D66" w:rsidRPr="00EB58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</w:t>
      </w:r>
      <w:r w:rsidRPr="00EB58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 28.04.2014 № 101-э/3 (</w:t>
      </w:r>
      <w:r w:rsidR="00827AA8" w:rsidRPr="00EB58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далее - </w:t>
      </w:r>
      <w:r w:rsidRPr="00EB58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Методические указания)</w:t>
      </w:r>
      <w:r w:rsidR="00BF20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="00746D66" w:rsidRPr="00EB58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уже определяют, что стандартизированные тарифные став</w:t>
      </w:r>
      <w:r w:rsidRPr="00EB58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</w:t>
      </w:r>
      <w:r w:rsidR="00746D66" w:rsidRPr="00EB58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 w:rsidRPr="00EB58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при расчете платы за технологическое присоединение применяются при условии, что расстояние от газоиспользующего оборудования до сети газораспределения ГРО, </w:t>
      </w:r>
      <w:r w:rsidRPr="00EB58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измеряемое по прямой линии, не более 200 метров</w:t>
      </w:r>
      <w:r w:rsidR="00827AA8" w:rsidRPr="00EB58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EB58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</w:t>
      </w:r>
      <w:proofErr w:type="gramEnd"/>
      <w:r w:rsidRPr="00EB58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сами мероприятия предполагают строительство только газопроводов-вводов. </w:t>
      </w:r>
    </w:p>
    <w:p w:rsidR="0016108C" w:rsidRPr="00EB5889" w:rsidRDefault="0016108C" w:rsidP="00EB5889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B58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Необходимо отметить тот факт, что отмена ставки С5 автоматически подразумевает и отмену стандартизированной тарифной ставки С</w:t>
      </w:r>
      <w:proofErr w:type="gramStart"/>
      <w:r w:rsidRPr="00EB58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</w:t>
      </w:r>
      <w:proofErr w:type="gramEnd"/>
      <w:r w:rsidRPr="00EB58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покрытие расходов ГРО, связанных с разработкой проектной документации протяженно</w:t>
      </w:r>
      <w:r w:rsidR="00746D66" w:rsidRPr="00EB58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стью строящейся трубы  150 метров</w:t>
      </w:r>
      <w:r w:rsidRPr="00EB58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менее.</w:t>
      </w:r>
    </w:p>
    <w:p w:rsidR="0016108C" w:rsidRPr="00EB5889" w:rsidRDefault="0016108C" w:rsidP="00EB5889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EB58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Учитывая вышеизложенное, необходимо отметить, что фактически требуется только сегментарное усовершенствование методологии ценообразования в сфере технологического присоединения к газораспределительным сетям при существенном усилении контроля за соблюдением законодательства Российской Федерации при установлении региональными органами регулирования стандартизированных тарифных ставок для расчета платы за технологическое присоединение к газораспределительным сетям, с целью исключения экономически н</w:t>
      </w:r>
      <w:r w:rsidR="00746D66" w:rsidRPr="00EB58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еобоснованных затрат, включенных</w:t>
      </w:r>
      <w:r w:rsidRPr="00EB58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указанные стандартизированные ставки для нивелирования их дифференциации</w:t>
      </w:r>
      <w:proofErr w:type="gramEnd"/>
      <w:r w:rsidRPr="00EB58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 субъектам Российской Федерации в разрезе ГРО.</w:t>
      </w:r>
    </w:p>
    <w:p w:rsidR="0016108C" w:rsidRPr="00EB5889" w:rsidRDefault="0016108C" w:rsidP="00EB5889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16108C" w:rsidRPr="00EB5889" w:rsidRDefault="0016108C" w:rsidP="00EB5889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16108C" w:rsidRPr="00EB5889" w:rsidRDefault="0016108C" w:rsidP="00EB5889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16108C" w:rsidRPr="00EB5889" w:rsidRDefault="0016108C" w:rsidP="00EB5889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16108C" w:rsidRPr="00EB5889" w:rsidRDefault="0016108C" w:rsidP="00EB5889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16108C" w:rsidRPr="00EB5889" w:rsidRDefault="0016108C" w:rsidP="00EB5889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16108C" w:rsidRPr="00EB5889" w:rsidRDefault="0016108C" w:rsidP="00EB5889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16108C" w:rsidRPr="00EB5889" w:rsidRDefault="0016108C" w:rsidP="00EB5889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16108C" w:rsidRPr="00EB5889" w:rsidRDefault="0016108C" w:rsidP="00EB5889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16108C" w:rsidRPr="00EB5889" w:rsidRDefault="0016108C" w:rsidP="00EB5889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16108C" w:rsidRPr="00EB5889" w:rsidRDefault="0016108C" w:rsidP="00EB5889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16108C" w:rsidRPr="00EB5889" w:rsidRDefault="0016108C" w:rsidP="00EB5889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16108C" w:rsidRPr="00EB5889" w:rsidRDefault="0016108C" w:rsidP="00EB5889">
      <w:pPr>
        <w:suppressAutoHyphens/>
        <w:spacing w:after="0" w:line="240" w:lineRule="auto"/>
        <w:ind w:firstLine="709"/>
        <w:contextualSpacing/>
        <w:jc w:val="right"/>
        <w:rPr>
          <w:rFonts w:ascii="Arial" w:hAnsi="Arial" w:cs="Arial"/>
          <w:color w:val="222222"/>
          <w:sz w:val="32"/>
          <w:szCs w:val="32"/>
          <w:shd w:val="clear" w:color="auto" w:fill="FFFFFF"/>
        </w:rPr>
      </w:pPr>
    </w:p>
    <w:p w:rsidR="0016108C" w:rsidRPr="00EB5889" w:rsidRDefault="0016108C" w:rsidP="00EB5889">
      <w:pPr>
        <w:suppressAutoHyphens/>
        <w:spacing w:after="0" w:line="360" w:lineRule="auto"/>
        <w:ind w:firstLine="709"/>
        <w:contextualSpacing/>
        <w:jc w:val="both"/>
        <w:rPr>
          <w:rFonts w:ascii="Baskerville Old Face" w:hAnsi="Baskerville Old Face" w:cs="Times New Roman"/>
          <w:color w:val="222222"/>
          <w:sz w:val="28"/>
          <w:szCs w:val="28"/>
          <w:shd w:val="clear" w:color="auto" w:fill="FFFFFF"/>
        </w:rPr>
      </w:pPr>
      <w:r w:rsidRPr="00EB588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                                                                                                </w:t>
      </w:r>
    </w:p>
    <w:p w:rsidR="0016108C" w:rsidRPr="00EB5889" w:rsidRDefault="0016108C" w:rsidP="00EB5889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16108C" w:rsidRPr="00EB5889" w:rsidRDefault="0016108C" w:rsidP="00EB5889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16108C" w:rsidRPr="00EB5889" w:rsidRDefault="0016108C" w:rsidP="00EB5889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16108C" w:rsidRPr="00EB5889" w:rsidRDefault="0016108C" w:rsidP="00EB5889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16108C" w:rsidRPr="00EB5889" w:rsidRDefault="0016108C" w:rsidP="00EB5889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16108C" w:rsidRPr="00EB5889" w:rsidRDefault="0016108C" w:rsidP="00EB5889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16108C" w:rsidRPr="00EB5889" w:rsidRDefault="0016108C" w:rsidP="00EB5889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16108C" w:rsidRPr="00EB5889" w:rsidRDefault="0016108C" w:rsidP="00EB5889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16108C" w:rsidRPr="00EB5889" w:rsidRDefault="0016108C" w:rsidP="00EB5889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16108C" w:rsidRPr="00EB5889" w:rsidRDefault="0016108C" w:rsidP="00EB5889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16108C" w:rsidRPr="00EB5889" w:rsidRDefault="0016108C" w:rsidP="00EB5889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16108C" w:rsidRPr="00EB5889" w:rsidRDefault="0016108C" w:rsidP="00EB5889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16108C" w:rsidRPr="00C402BA" w:rsidRDefault="0016108C" w:rsidP="00EB5889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EB588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39D0CA" wp14:editId="560BAA6D">
                <wp:simplePos x="0" y="0"/>
                <wp:positionH relativeFrom="column">
                  <wp:posOffset>-968375</wp:posOffset>
                </wp:positionH>
                <wp:positionV relativeFrom="paragraph">
                  <wp:posOffset>681493</wp:posOffset>
                </wp:positionV>
                <wp:extent cx="7338695" cy="1828800"/>
                <wp:effectExtent l="0" t="0" r="0" b="1016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869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6108C" w:rsidRPr="00B452AE" w:rsidRDefault="0016108C" w:rsidP="0016108C">
                            <w:pPr>
                              <w:suppressAutoHyphens/>
                              <w:spacing w:after="0" w:line="240" w:lineRule="auto"/>
                              <w:ind w:firstLine="709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D9D9D9" w:themeColor="background1" w:themeShade="D9"/>
                                <w:spacing w:val="20"/>
                                <w:sz w:val="20"/>
                                <w:szCs w:val="20"/>
                                <w:shd w:val="clear" w:color="auto" w:fill="FFFFFF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452AE">
                              <w:rPr>
                                <w:rFonts w:ascii="Times New Roman" w:hAnsi="Times New Roman" w:cs="Times New Roman"/>
                                <w:b/>
                                <w:color w:val="D9D9D9" w:themeColor="background1" w:themeShade="D9"/>
                                <w:spacing w:val="20"/>
                                <w:sz w:val="20"/>
                                <w:szCs w:val="20"/>
                                <w:shd w:val="clear" w:color="auto" w:fill="FFFFFF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АНО «Центр мониторинга и </w:t>
                            </w:r>
                            <w:proofErr w:type="gramStart"/>
                            <w:r w:rsidRPr="00B452AE">
                              <w:rPr>
                                <w:rFonts w:ascii="Times New Roman" w:hAnsi="Times New Roman" w:cs="Times New Roman"/>
                                <w:b/>
                                <w:color w:val="D9D9D9" w:themeColor="background1" w:themeShade="D9"/>
                                <w:spacing w:val="20"/>
                                <w:sz w:val="20"/>
                                <w:szCs w:val="20"/>
                                <w:shd w:val="clear" w:color="auto" w:fill="FFFFFF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контроля за</w:t>
                            </w:r>
                            <w:proofErr w:type="gramEnd"/>
                            <w:r w:rsidRPr="00B452AE">
                              <w:rPr>
                                <w:rFonts w:ascii="Times New Roman" w:hAnsi="Times New Roman" w:cs="Times New Roman"/>
                                <w:b/>
                                <w:color w:val="D9D9D9" w:themeColor="background1" w:themeShade="D9"/>
                                <w:spacing w:val="20"/>
                                <w:sz w:val="20"/>
                                <w:szCs w:val="20"/>
                                <w:shd w:val="clear" w:color="auto" w:fill="FFFFFF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ценообразованием»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76.25pt;margin-top:53.65pt;width:577.85pt;height:2in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" filled="f" stroked="f">
                <v:textbox style="mso-fit-shape-to-text:t">
                  <w:txbxContent>
                    <w:p w:rsidR="0016108C" w:rsidRPr="00B452AE" w:rsidRDefault="0016108C" w:rsidP="0016108C">
                      <w:pPr>
                        <w:suppressAutoHyphens/>
                        <w:spacing w:after="0" w:line="240" w:lineRule="auto"/>
                        <w:ind w:firstLine="709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color w:val="D9D9D9" w:themeColor="background1" w:themeShade="D9"/>
                          <w:spacing w:val="20"/>
                          <w:sz w:val="20"/>
                          <w:szCs w:val="20"/>
                          <w:shd w:val="clear" w:color="auto" w:fill="FFFFFF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452AE">
                        <w:rPr>
                          <w:rFonts w:ascii="Times New Roman" w:hAnsi="Times New Roman" w:cs="Times New Roman"/>
                          <w:b/>
                          <w:color w:val="D9D9D9" w:themeColor="background1" w:themeShade="D9"/>
                          <w:spacing w:val="20"/>
                          <w:sz w:val="20"/>
                          <w:szCs w:val="20"/>
                          <w:shd w:val="clear" w:color="auto" w:fill="FFFFFF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 xml:space="preserve">АНО «Центр мониторинга и </w:t>
                      </w:r>
                      <w:proofErr w:type="gramStart"/>
                      <w:r w:rsidRPr="00B452AE">
                        <w:rPr>
                          <w:rFonts w:ascii="Times New Roman" w:hAnsi="Times New Roman" w:cs="Times New Roman"/>
                          <w:b/>
                          <w:color w:val="D9D9D9" w:themeColor="background1" w:themeShade="D9"/>
                          <w:spacing w:val="20"/>
                          <w:sz w:val="20"/>
                          <w:szCs w:val="20"/>
                          <w:shd w:val="clear" w:color="auto" w:fill="FFFFFF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>контроля за</w:t>
                      </w:r>
                      <w:proofErr w:type="gramEnd"/>
                      <w:r w:rsidRPr="00B452AE">
                        <w:rPr>
                          <w:rFonts w:ascii="Times New Roman" w:hAnsi="Times New Roman" w:cs="Times New Roman"/>
                          <w:b/>
                          <w:color w:val="D9D9D9" w:themeColor="background1" w:themeShade="D9"/>
                          <w:spacing w:val="20"/>
                          <w:sz w:val="20"/>
                          <w:szCs w:val="20"/>
                          <w:shd w:val="clear" w:color="auto" w:fill="FFFFFF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ценообразованием»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6108C" w:rsidRPr="00C402BA" w:rsidSect="00F61B02">
      <w:headerReference w:type="even" r:id="rId8"/>
      <w:headerReference w:type="default" r:id="rId9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916" w:rsidRDefault="00B71916">
      <w:pPr>
        <w:spacing w:after="0" w:line="240" w:lineRule="auto"/>
      </w:pPr>
      <w:r>
        <w:separator/>
      </w:r>
    </w:p>
  </w:endnote>
  <w:endnote w:type="continuationSeparator" w:id="0">
    <w:p w:rsidR="00B71916" w:rsidRDefault="00B71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916" w:rsidRDefault="00B71916">
      <w:pPr>
        <w:spacing w:after="0" w:line="240" w:lineRule="auto"/>
      </w:pPr>
      <w:r>
        <w:separator/>
      </w:r>
    </w:p>
  </w:footnote>
  <w:footnote w:type="continuationSeparator" w:id="0">
    <w:p w:rsidR="00B71916" w:rsidRDefault="00B71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396" w:rsidRDefault="00AC5BA4" w:rsidP="004E7DE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57396" w:rsidRDefault="00B7191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396" w:rsidRPr="00702175" w:rsidRDefault="00AC5BA4" w:rsidP="004E7DE8">
    <w:pPr>
      <w:pStyle w:val="a3"/>
      <w:framePr w:wrap="around" w:vAnchor="text" w:hAnchor="margin" w:xAlign="center" w:y="1"/>
      <w:rPr>
        <w:rStyle w:val="a5"/>
        <w:rFonts w:ascii="Times New Roman" w:hAnsi="Times New Roman" w:cs="Times New Roman"/>
      </w:rPr>
    </w:pPr>
    <w:r w:rsidRPr="00702175">
      <w:rPr>
        <w:rStyle w:val="a5"/>
        <w:rFonts w:ascii="Times New Roman" w:hAnsi="Times New Roman" w:cs="Times New Roman"/>
      </w:rPr>
      <w:fldChar w:fldCharType="begin"/>
    </w:r>
    <w:r w:rsidRPr="00702175">
      <w:rPr>
        <w:rStyle w:val="a5"/>
        <w:rFonts w:ascii="Times New Roman" w:hAnsi="Times New Roman" w:cs="Times New Roman"/>
      </w:rPr>
      <w:instrText xml:space="preserve">PAGE  </w:instrText>
    </w:r>
    <w:r w:rsidRPr="00702175">
      <w:rPr>
        <w:rStyle w:val="a5"/>
        <w:rFonts w:ascii="Times New Roman" w:hAnsi="Times New Roman" w:cs="Times New Roman"/>
      </w:rPr>
      <w:fldChar w:fldCharType="separate"/>
    </w:r>
    <w:r w:rsidR="000C02A5">
      <w:rPr>
        <w:rStyle w:val="a5"/>
        <w:rFonts w:ascii="Times New Roman" w:hAnsi="Times New Roman" w:cs="Times New Roman"/>
        <w:noProof/>
      </w:rPr>
      <w:t>2</w:t>
    </w:r>
    <w:r w:rsidRPr="00702175">
      <w:rPr>
        <w:rStyle w:val="a5"/>
        <w:rFonts w:ascii="Times New Roman" w:hAnsi="Times New Roman" w:cs="Times New Roman"/>
      </w:rPr>
      <w:fldChar w:fldCharType="end"/>
    </w:r>
  </w:p>
  <w:p w:rsidR="00E57396" w:rsidRPr="00702175" w:rsidRDefault="00B71916">
    <w:pPr>
      <w:pStyle w:val="a3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08C"/>
    <w:rsid w:val="000C02A5"/>
    <w:rsid w:val="0016108C"/>
    <w:rsid w:val="00505046"/>
    <w:rsid w:val="0071360C"/>
    <w:rsid w:val="00746D66"/>
    <w:rsid w:val="00827AA8"/>
    <w:rsid w:val="00AC5BA4"/>
    <w:rsid w:val="00B71916"/>
    <w:rsid w:val="00BF2044"/>
    <w:rsid w:val="00C17D8B"/>
    <w:rsid w:val="00EB5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0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108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6108C"/>
  </w:style>
  <w:style w:type="character" w:styleId="a5">
    <w:name w:val="page number"/>
    <w:basedOn w:val="a0"/>
    <w:uiPriority w:val="99"/>
    <w:semiHidden/>
    <w:unhideWhenUsed/>
    <w:rsid w:val="0016108C"/>
  </w:style>
  <w:style w:type="table" w:styleId="a6">
    <w:name w:val="Table Grid"/>
    <w:basedOn w:val="a1"/>
    <w:uiPriority w:val="59"/>
    <w:rsid w:val="0016108C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0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108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6108C"/>
  </w:style>
  <w:style w:type="character" w:styleId="a5">
    <w:name w:val="page number"/>
    <w:basedOn w:val="a0"/>
    <w:uiPriority w:val="99"/>
    <w:semiHidden/>
    <w:unhideWhenUsed/>
    <w:rsid w:val="0016108C"/>
  </w:style>
  <w:style w:type="table" w:styleId="a6">
    <w:name w:val="Table Grid"/>
    <w:basedOn w:val="a1"/>
    <w:uiPriority w:val="59"/>
    <w:rsid w:val="0016108C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968</Words>
  <Characters>5521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Belov</cp:lastModifiedBy>
  <cp:revision>2</cp:revision>
  <dcterms:created xsi:type="dcterms:W3CDTF">2016-11-11T13:21:00Z</dcterms:created>
  <dcterms:modified xsi:type="dcterms:W3CDTF">2016-11-11T13:21:00Z</dcterms:modified>
</cp:coreProperties>
</file>